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pic="http://schemas.openxmlformats.org/drawingml/2006/pictur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План мероприятий по эвакуации и спасению работников при возникновении аварийной ситуации и при проведении спасательных работ</w:t>
      </w:r>
      <w:r>
        <w:rPr>
          <w:rFonts w:hAnsi="Times New Roman" w:cs="Times New Roman"/>
          <w:b/>
          <w:bCs/>
          <w:color w:val="000000"/>
          <w:sz w:val="24"/>
          <w:szCs w:val="24"/>
        </w:rPr>
        <w:t>водителя бензовоза, который поднимается на бочку (автоцистерну) для открытия и закрытия наливных люков (крышек)</w:t>
      </w:r>
    </w:p>
    <w:p>
      <w:pPr>
        <w:spacing w:line="240" w:lineRule="auto"/>
        <w:rPr>
          <w:rFonts w:hAnsi="Times New Roman" w:cs="Times New Roman"/>
          <w:color w:val="000000"/>
          <w:sz w:val="24"/>
          <w:szCs w:val="24"/>
        </w:rPr>
      </w:pPr>
      <w:r>
        <w:rPr>
          <w:rFonts w:hAnsi="Times New Roman" w:cs="Times New Roman"/>
          <w:color w:val="000000"/>
          <w:sz w:val="24"/>
          <w:szCs w:val="24"/>
        </w:rPr>
        <w:t xml:space="preserve">Данный план включает в себя базовые принципы проведения спасательных мероприятий во время проведения работ на высоте. Все члены команды должны быть обучены согласно Правилам по охране труда при работе на высоте, утвержденным </w:t>
      </w:r>
      <w:r>
        <w:rPr>
          <w:rFonts w:hAnsi="Times New Roman" w:cs="Times New Roman"/>
          <w:color w:val="000000"/>
          <w:sz w:val="24"/>
          <w:szCs w:val="24"/>
        </w:rPr>
        <w:t>приказом Минтруда от 16.11.2020 № 782н</w:t>
      </w:r>
      <w:r>
        <w:rPr>
          <w:rFonts w:hAnsi="Times New Roman" w:cs="Times New Roman"/>
          <w:color w:val="000000"/>
          <w:sz w:val="24"/>
          <w:szCs w:val="24"/>
        </w:rPr>
        <w:t xml:space="preserve">, обладать навыками проведения спасательных мероприятий и иметь опыт работы. При возникновении нештатной ситуации снятие пострадавшего с веревок производится членами команды, именуемыми далее по тексту «спасатели». Оказание первой помощи производится обученными работниками и обладающими необходимыми навыками согласно </w:t>
      </w:r>
      <w:r>
        <w:rPr>
          <w:rFonts w:hAnsi="Times New Roman" w:cs="Times New Roman"/>
          <w:color w:val="000000"/>
          <w:sz w:val="24"/>
          <w:szCs w:val="24"/>
        </w:rPr>
        <w:t>приказу Минздрава от 03.05.2024 № 220н</w:t>
      </w:r>
      <w:r>
        <w:rPr>
          <w:rFonts w:hAnsi="Times New Roman" w:cs="Times New Roman"/>
          <w:color w:val="000000"/>
          <w:sz w:val="24"/>
          <w:szCs w:val="24"/>
        </w:rPr>
        <w:t xml:space="preserve"> «Об утверждении Порядка оказания первой помощи».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.Все члены команды обязаны использовать комплект снаряжения, в который входят в том числе и дополнительное спасательное оборудование (по ситуации), и аптечка первой помощи, укомплектованная согласно </w:t>
      </w:r>
      <w:r>
        <w:rPr>
          <w:rFonts w:hAnsi="Times New Roman" w:cs="Times New Roman"/>
          <w:color w:val="000000"/>
          <w:sz w:val="24"/>
          <w:szCs w:val="24"/>
        </w:rPr>
        <w:t>приказу Минздрава от 20.05.2024 № 246н</w:t>
      </w:r>
      <w:r>
        <w:rPr>
          <w:rFonts w:hAnsi="Times New Roman" w:cs="Times New Roman"/>
          <w:color w:val="000000"/>
          <w:sz w:val="24"/>
          <w:szCs w:val="24"/>
        </w:rPr>
        <w:t xml:space="preserve"> «Об утверждении требований к комплектации аптечек, укладки, набора и комплекта для оказания первой помощи с применением медицинских изделий и лекарственных препаратов спасателями, осуществляющими аварийно-спасательные работы».</w:t>
      </w:r>
    </w:p>
    <w:p>
      <w:pPr>
        <w:spacing w:line="240" w:lineRule="auto"/>
        <w:rPr>
          <w:rFonts w:hAnsi="Times New Roman" w:cs="Times New Roman"/>
          <w:color w:val="000000"/>
          <w:sz w:val="24"/>
          <w:szCs w:val="24"/>
        </w:rPr>
      </w:pPr>
      <w:r>
        <w:rPr>
          <w:rFonts w:hAnsi="Times New Roman" w:cs="Times New Roman"/>
          <w:color w:val="000000"/>
          <w:sz w:val="24"/>
          <w:szCs w:val="24"/>
        </w:rPr>
        <w:t>Такое, как две текстильные анкерные петли, дополнительный веревочный зажим, блок-ролик и три свободных (незадействованных) карабина. Личный спасательный набор может быть использован только для проведения спасательных мероприятий. Несмотря на то что штатного комплекта снаряжения достаточно для проведения большинства возможных сценариев спасения, на площадке всегда находится аварийный спасательный комплект снаряжения. Аварийный спасательный комплект находится в отдельном транспортировочном мешке и готов к использованию. В него входят Firstaidkit, необходимое количество канатов, анкерные петли, дополнительные страховочные и спусковые устройства, дополнительные веревочные зажимы и блок-ролики, а также необходимое количество карабинов. В зависимости от потребности в него может быть добавлено дополнительное снаряжение.</w:t>
      </w:r>
    </w:p>
    <w:p>
      <w:pPr>
        <w:spacing w:line="240" w:lineRule="auto"/>
        <w:rPr>
          <w:rFonts w:hAnsi="Times New Roman" w:cs="Times New Roman"/>
          <w:color w:val="000000"/>
          <w:sz w:val="24"/>
          <w:szCs w:val="24"/>
        </w:rPr>
      </w:pPr>
      <w:r>
        <w:rPr>
          <w:rFonts w:hAnsi="Times New Roman" w:cs="Times New Roman"/>
          <w:b/>
          <w:bCs/>
          <w:color w:val="000000"/>
          <w:sz w:val="24"/>
          <w:szCs w:val="24"/>
        </w:rPr>
        <w:t>Перед началом мероприятий по спасению</w:t>
      </w:r>
      <w:r>
        <w:rPr>
          <w:rFonts w:hAnsi="Times New Roman" w:cs="Times New Roman"/>
          <w:b/>
          <w:bCs/>
          <w:color w:val="000000"/>
          <w:sz w:val="24"/>
          <w:szCs w:val="24"/>
        </w:rPr>
        <w:t>необходимо:</w:t>
      </w:r>
    </w:p>
    <w:p>
      <w:pPr>
        <w:spacing w:line="240" w:lineRule="auto"/>
        <w:rPr>
          <w:rFonts w:hAnsi="Times New Roman" w:cs="Times New Roman"/>
          <w:color w:val="000000"/>
          <w:sz w:val="24"/>
          <w:szCs w:val="24"/>
        </w:rPr>
      </w:pPr>
      <w:r>
        <w:rPr>
          <w:rFonts w:hAnsi="Times New Roman" w:cs="Times New Roman"/>
          <w:color w:val="000000"/>
          <w:sz w:val="24"/>
          <w:szCs w:val="24"/>
        </w:rPr>
        <w:t>1. Известить специализированные службы о происшествии.</w:t>
      </w:r>
    </w:p>
    <w:p>
      <w:pPr>
        <w:spacing w:line="240" w:lineRule="auto"/>
        <w:rPr>
          <w:rFonts w:hAnsi="Times New Roman" w:cs="Times New Roman"/>
          <w:color w:val="000000"/>
          <w:sz w:val="24"/>
          <w:szCs w:val="24"/>
        </w:rPr>
      </w:pPr>
      <w:r>
        <w:rPr>
          <w:rFonts w:hAnsi="Times New Roman" w:cs="Times New Roman"/>
          <w:color w:val="000000"/>
          <w:sz w:val="24"/>
          <w:szCs w:val="24"/>
        </w:rPr>
        <w:t>2. Остановить все работы.</w:t>
      </w:r>
    </w:p>
    <w:p>
      <w:pPr>
        <w:spacing w:line="240" w:lineRule="auto"/>
        <w:rPr>
          <w:rFonts w:hAnsi="Times New Roman" w:cs="Times New Roman"/>
          <w:color w:val="000000"/>
          <w:sz w:val="24"/>
          <w:szCs w:val="24"/>
        </w:rPr>
      </w:pPr>
      <w:r>
        <w:rPr>
          <w:rFonts w:hAnsi="Times New Roman" w:cs="Times New Roman"/>
          <w:color w:val="000000"/>
          <w:sz w:val="24"/>
          <w:szCs w:val="24"/>
        </w:rPr>
        <w:t>3. Определить причину происшествия с пострадавшим и убедиться, что эти причины не окажут никакого травмирующего воздействия на команду, проводящую спасение.</w:t>
      </w:r>
    </w:p>
    <w:p>
      <w:pPr>
        <w:spacing w:line="240" w:lineRule="auto"/>
        <w:rPr>
          <w:rFonts w:hAnsi="Times New Roman" w:cs="Times New Roman"/>
          <w:color w:val="000000"/>
          <w:sz w:val="24"/>
          <w:szCs w:val="24"/>
        </w:rPr>
      </w:pPr>
      <w:r>
        <w:rPr>
          <w:rFonts w:hAnsi="Times New Roman" w:cs="Times New Roman"/>
          <w:b/>
          <w:bCs/>
          <w:color w:val="000000"/>
          <w:sz w:val="24"/>
          <w:szCs w:val="24"/>
        </w:rPr>
        <w:t>При проведении спасательных работ необходимо:</w:t>
      </w:r>
    </w:p>
    <w:p>
      <w:pPr>
        <w:spacing w:line="240" w:lineRule="auto"/>
        <w:rPr>
          <w:rFonts w:hAnsi="Times New Roman" w:cs="Times New Roman"/>
          <w:color w:val="000000"/>
          <w:sz w:val="24"/>
          <w:szCs w:val="24"/>
        </w:rPr>
      </w:pPr>
      <w:r>
        <w:rPr>
          <w:rFonts w:hAnsi="Times New Roman" w:cs="Times New Roman"/>
          <w:color w:val="000000"/>
          <w:sz w:val="24"/>
          <w:szCs w:val="24"/>
        </w:rPr>
        <w:t>1. Обеспечить оказание первой помощи и предотвращение дополнительных травм для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2. Эвакуировать пострадавшего в безопасное место, в котором ему может быть оказана профессиональная медицинская помощь.</w:t>
      </w:r>
    </w:p>
    <w:p>
      <w:pPr>
        <w:spacing w:line="240" w:lineRule="auto"/>
        <w:rPr>
          <w:rFonts w:hAnsi="Times New Roman" w:cs="Times New Roman"/>
          <w:color w:val="000000"/>
          <w:sz w:val="24"/>
          <w:szCs w:val="24"/>
        </w:rPr>
      </w:pPr>
      <w:r>
        <w:rPr>
          <w:rFonts w:hAnsi="Times New Roman" w:cs="Times New Roman"/>
          <w:color w:val="000000"/>
          <w:sz w:val="24"/>
          <w:szCs w:val="24"/>
        </w:rPr>
        <w:t>3. Организация транспортировки пострадавшего должна быть приемлемой на протяжении всей операции, действия спасателей должны быть эффективными и ни в коем случае не должны ухудшать состояние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Несмотря на то что при организации и планировании работ предпочтение отдается предустановленным системам спасения.</w:t>
      </w:r>
    </w:p>
    <w:p>
      <w:r>
        <w:rPr>
          <w:noProof/>
        </w:rPr>
        <w:drawing>
          <wp:inline xmlns:wp="http://schemas.openxmlformats.org/drawingml/2006/wordprocessingDrawing" distT="0" distB="0" distL="0" distR="0">
            <wp:extent cx="5732144" cy="7092694"/>
            <wp:effectExtent l="0" t="0" r="0" b="0"/>
            <wp:docPr id="1" name="Picture 1" descr="/api/doc/v1/image/-32430657?moduleId=118&amp;id=98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pi/doc/v1/image/-32430657?moduleId=118&amp;id=98935"/>
                    <pic:cNvPicPr>
                      <a:picLocks noChangeAspect="1" noChangeArrowheads="1"/>
                    </pic:cNvPicPr>
                  </pic:nvPicPr>
                  <pic:blipFill>
                    <a:blip r:embed="Ra15057946a254afd99055227a29195a5">
                      <a:extLst>
                        <a:ext uri="{28A0092B-C50C-407E-A947-70E740481C1C}">
                          <a14:useLocalDpi xmlns:a14="http://schemas.microsoft.com/office/drawing/2010/main" val="0"/>
                        </a:ext>
                      </a:extLst>
                    </a:blip>
                    <a:stretch>
                      <a:fillRect/>
                    </a:stretch>
                  </pic:blipFill>
                  <pic:spPr bwMode="auto">
                    <a:xfrm>
                      <a:off x="0" y="0"/>
                      <a:ext cx="5732144" cy="7092694"/>
                    </a:xfrm>
                    <a:prstGeom prst="rect">
                      <a:avLst/>
                    </a:prstGeom>
                    <a:noFill/>
                    <a:ln>
                      <a:noFill/>
                    </a:ln>
                  </pic:spPr>
                </pic:pic>
              </a:graphicData>
            </a:graphic>
          </wp:inline>
        </w:drawing>
      </w:r>
    </w:p>
    <w:p>
      <w:r>
        <w:rPr>
          <w:noProof/>
        </w:rPr>
        <w:drawing>
          <wp:inline xmlns:wp="http://schemas.openxmlformats.org/drawingml/2006/wordprocessingDrawing" distT="0" distB="0" distL="0" distR="0">
            <wp:extent cx="5732144" cy="5242217"/>
            <wp:effectExtent l="0" t="0" r="0" b="0"/>
            <wp:docPr id="2" name="Picture 2" descr="/api/doc/v1/image/-32430659?moduleId=118&amp;id=98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pi/doc/v1/image/-32430659?moduleId=118&amp;id=98935"/>
                    <pic:cNvPicPr>
                      <a:picLocks noChangeAspect="1" noChangeArrowheads="1"/>
                    </pic:cNvPicPr>
                  </pic:nvPicPr>
                  <pic:blipFill>
                    <a:blip r:embed="R5ce17e7cd1bf43aa8cb5b4026106c3a9">
                      <a:extLst>
                        <a:ext uri="{28A0092B-C50C-407E-A947-70E740481C1C}">
                          <a14:useLocalDpi xmlns:a14="http://schemas.microsoft.com/office/drawing/2010/main" val="0"/>
                        </a:ext>
                      </a:extLst>
                    </a:blip>
                    <a:stretch>
                      <a:fillRect/>
                    </a:stretch>
                  </pic:blipFill>
                  <pic:spPr bwMode="auto">
                    <a:xfrm>
                      <a:off x="0" y="0"/>
                      <a:ext cx="5732144" cy="5242217"/>
                    </a:xfrm>
                    <a:prstGeom prst="rect">
                      <a:avLst/>
                    </a:prstGeom>
                    <a:noFill/>
                    <a:ln>
                      <a:noFill/>
                    </a:ln>
                  </pic:spPr>
                </pic:pic>
              </a:graphicData>
            </a:graphic>
          </wp:inline>
        </w:drawing>
      </w:r>
    </w:p>
    <w:p>
      <w:pPr>
        <w:spacing w:line="240" w:lineRule="auto"/>
        <w:rPr>
          <w:rFonts w:hAnsi="Times New Roman" w:cs="Times New Roman"/>
          <w:color w:val="000000"/>
          <w:sz w:val="24"/>
          <w:szCs w:val="24"/>
        </w:rPr>
      </w:pPr>
      <w:r>
        <w:rPr>
          <w:rFonts w:hAnsi="Times New Roman" w:cs="Times New Roman"/>
          <w:color w:val="000000"/>
          <w:sz w:val="24"/>
          <w:szCs w:val="24"/>
        </w:rPr>
        <w:t>Также возможны и другие способы спасения.</w:t>
      </w:r>
    </w:p>
    <w:p>
      <w:pPr>
        <w:spacing w:line="240" w:lineRule="auto"/>
        <w:rPr>
          <w:rFonts w:hAnsi="Times New Roman" w:cs="Times New Roman"/>
          <w:color w:val="000000"/>
          <w:sz w:val="24"/>
          <w:szCs w:val="24"/>
        </w:rPr>
      </w:pPr>
      <w:r>
        <w:rPr>
          <w:rFonts w:hAnsi="Times New Roman" w:cs="Times New Roman"/>
          <w:b/>
          <w:bCs/>
          <w:color w:val="000000"/>
          <w:sz w:val="24"/>
          <w:szCs w:val="24"/>
        </w:rPr>
        <w:t>Снятие пострадавшего со спускового устройства</w:t>
      </w:r>
    </w:p>
    <w:p>
      <w:pPr>
        <w:spacing w:line="240" w:lineRule="auto"/>
        <w:rPr>
          <w:rFonts w:hAnsi="Times New Roman" w:cs="Times New Roman"/>
          <w:color w:val="000000"/>
          <w:sz w:val="24"/>
          <w:szCs w:val="24"/>
        </w:rPr>
      </w:pPr>
      <w:r>
        <w:rPr>
          <w:rFonts w:hAnsi="Times New Roman" w:cs="Times New Roman"/>
          <w:b/>
          <w:bCs/>
          <w:color w:val="000000"/>
          <w:sz w:val="24"/>
          <w:szCs w:val="24"/>
        </w:rPr>
        <w:t>Спасатель на дополнительной паре веревок</w:t>
      </w:r>
    </w:p>
    <w:p>
      <w:pPr>
        <w:spacing w:line="240" w:lineRule="auto"/>
        <w:rPr>
          <w:rFonts w:hAnsi="Times New Roman" w:cs="Times New Roman"/>
          <w:color w:val="000000"/>
          <w:sz w:val="24"/>
          <w:szCs w:val="24"/>
        </w:rPr>
      </w:pPr>
      <w:r>
        <w:rPr>
          <w:rFonts w:hAnsi="Times New Roman" w:cs="Times New Roman"/>
          <w:color w:val="000000"/>
          <w:sz w:val="24"/>
          <w:szCs w:val="24"/>
        </w:rPr>
        <w:t>1.1. Спасатель поднимается на автоцистерну до уровня пострадавшего (в любом из вариантов он должен перейти в режим спуска).</w:t>
      </w:r>
    </w:p>
    <w:p>
      <w:pPr>
        <w:spacing w:line="240" w:lineRule="auto"/>
        <w:rPr>
          <w:rFonts w:hAnsi="Times New Roman" w:cs="Times New Roman"/>
          <w:color w:val="000000"/>
          <w:sz w:val="24"/>
          <w:szCs w:val="24"/>
        </w:rPr>
      </w:pPr>
      <w:r>
        <w:rPr>
          <w:rFonts w:hAnsi="Times New Roman" w:cs="Times New Roman"/>
          <w:color w:val="000000"/>
          <w:sz w:val="24"/>
          <w:szCs w:val="24"/>
        </w:rPr>
        <w:t>1.2. Спасатель пристегивает дополнительный ус самостраховки в центральное кольцо на привязи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1.3. Спасатель создает короткое соединение между карабином своего спускового устройства и центральным D-кольцом на привязи пострадавшего (таким образом, пострадавший имеет две независимые точки прикрепления к спасателю).</w:t>
      </w:r>
    </w:p>
    <w:p>
      <w:pPr>
        <w:spacing w:line="240" w:lineRule="auto"/>
        <w:rPr>
          <w:rFonts w:hAnsi="Times New Roman" w:cs="Times New Roman"/>
          <w:color w:val="000000"/>
          <w:sz w:val="24"/>
          <w:szCs w:val="24"/>
        </w:rPr>
      </w:pPr>
      <w:r>
        <w:rPr>
          <w:rFonts w:hAnsi="Times New Roman" w:cs="Times New Roman"/>
          <w:color w:val="000000"/>
          <w:sz w:val="24"/>
          <w:szCs w:val="24"/>
        </w:rPr>
        <w:t>1.4. Спасатель опускает и отсоединяет спусковое устройство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1.5. Спасатель снимает страховочное устройство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1.6. Пострадавшего необходимо привести в вертикальное положение, пристегнув его грудную точку крепления в короткой сцепке.</w:t>
      </w:r>
    </w:p>
    <w:p>
      <w:pPr>
        <w:spacing w:line="240" w:lineRule="auto"/>
        <w:rPr>
          <w:rFonts w:hAnsi="Times New Roman" w:cs="Times New Roman"/>
          <w:color w:val="000000"/>
          <w:sz w:val="24"/>
          <w:szCs w:val="24"/>
        </w:rPr>
      </w:pPr>
      <w:r>
        <w:rPr>
          <w:rFonts w:hAnsi="Times New Roman" w:cs="Times New Roman"/>
          <w:color w:val="000000"/>
          <w:sz w:val="24"/>
          <w:szCs w:val="24"/>
        </w:rPr>
        <w:t>1.7. Спасатель простегивает свободную ветку рабочей веревки через дополнительный карабин на силовой точке своей привязи ниже спускового устройства для обеспечения дополнительного трения, чтобы улучшить контроль спуска с дополнительным весом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1.8. Спасатель спускается с пострадавшим, постоянно отслеживая положение страховочного устройства, и аккуратно опускает пострадавшего.</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a21d31373e5442ee" /><Relationship Type="http://schemas.openxmlformats.org/officeDocument/2006/relationships/image" Target="/media/image.jpg" Id="Ra15057946a254afd99055227a29195a5" /><Relationship Type="http://schemas.openxmlformats.org/officeDocument/2006/relationships/image" Target="/media/image2.jpg" Id="R5ce17e7cd1bf43aa8cb5b4026106c3a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Группы Актион</dc:description>
  <dcterms:created xsi:type="dcterms:W3CDTF">2011-11-02T04:15:00Z</dcterms:created>
  <dcterms:modified xsi:type="dcterms:W3CDTF">2012-05-05T09:54:00Z</dcterms:modified>
</cp:coreProperties>
</file>